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5F6" w:rsidRDefault="00BA7221">
      <w:pPr>
        <w:spacing w:after="160"/>
        <w:jc w:val="right"/>
        <w:rPr>
          <w:rFonts w:hint="eastAsia"/>
        </w:rPr>
      </w:pPr>
      <w:bookmarkStart w:id="0" w:name="_GoBack"/>
      <w:bookmarkEnd w:id="0"/>
      <w:r>
        <w:rPr>
          <w:noProof/>
          <w:lang w:val="tr-TR" w:eastAsia="tr-TR"/>
        </w:rPr>
        <w:drawing>
          <wp:inline distT="0" distB="0" distL="0" distR="0">
            <wp:extent cx="1691640" cy="64518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eb6c46-018a-4a23-bb0b-510773ac2240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645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5F6" w:rsidRDefault="00BA7221">
      <w:pPr>
        <w:pStyle w:val="Balk1"/>
        <w:spacing w:before="0"/>
        <w:jc w:val="center"/>
      </w:pPr>
      <w:r>
        <w:rPr>
          <w:rFonts w:ascii="Times New Roman" w:eastAsia="Times New Roman" w:hAnsi="Times New Roman"/>
          <w:sz w:val="38"/>
        </w:rPr>
        <w:t>DEĞERLEME (EKSPERTİZ) RAPORLAMA HİZMETLERİMİZ</w:t>
      </w:r>
    </w:p>
    <w:p w:rsidR="009B45F6" w:rsidRDefault="00BA7221">
      <w:pPr>
        <w:spacing w:after="140"/>
        <w:jc w:val="center"/>
        <w:rPr>
          <w:rFonts w:hint="eastAsia"/>
        </w:rPr>
      </w:pPr>
      <w:r>
        <w:rPr>
          <w:rFonts w:ascii="Times New Roman" w:eastAsia="Times New Roman" w:hAnsi="Times New Roman"/>
          <w:b/>
          <w:color w:val="C62828"/>
          <w:sz w:val="26"/>
        </w:rPr>
        <w:t>SPK ve BDDK Lisanslı Değerleme Kuruluşu</w:t>
      </w:r>
    </w:p>
    <w:p w:rsidR="009B45F6" w:rsidRDefault="00BA7221">
      <w:pPr>
        <w:spacing w:after="280"/>
        <w:rPr>
          <w:rFonts w:hint="eastAsia"/>
        </w:rPr>
      </w:pPr>
      <w:r>
        <w:rPr>
          <w:sz w:val="22"/>
        </w:rPr>
        <w:t>Farklı nitelikteki taşınmazlar için amaca, mevzuata ve piyasa koşullarına uygun; gerekçeli, denetlenebilir ve karar süreçlerinde kullanılabilir raporlar hazırlıyoruz.</w:t>
      </w:r>
    </w:p>
    <w:tbl>
      <w:tblPr>
        <w:tblW w:w="10300" w:type="dxa"/>
        <w:jc w:val="center"/>
        <w:tblLayout w:type="fixed"/>
        <w:tblLook w:val="04A0" w:firstRow="1" w:lastRow="0" w:firstColumn="1" w:lastColumn="0" w:noHBand="0" w:noVBand="1"/>
      </w:tblPr>
      <w:tblGrid>
        <w:gridCol w:w="5150"/>
        <w:gridCol w:w="5150"/>
      </w:tblGrid>
      <w:tr w:rsidR="009B45F6">
        <w:trPr>
          <w:jc w:val="center"/>
        </w:trPr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  <w:shd w:val="clear" w:color="auto" w:fill="F3F5F7"/>
            <w:tcMar>
              <w:top w:w="190" w:type="dxa"/>
              <w:left w:w="220" w:type="dxa"/>
              <w:bottom w:w="190" w:type="dxa"/>
              <w:right w:w="220" w:type="dxa"/>
            </w:tcMar>
          </w:tcPr>
          <w:p w:rsidR="009B45F6" w:rsidRDefault="00BA7221">
            <w:pPr>
              <w:rPr>
                <w:rFonts w:hint="eastAsia"/>
              </w:rPr>
            </w:pPr>
            <w:r>
              <w:rPr>
                <w:b/>
                <w:color w:val="C62828"/>
                <w:sz w:val="24"/>
              </w:rPr>
              <w:t>ARSA, ARAZİ VE PROJELER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Arsa ve araziler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Konutlar ve konut projeleri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Rezidanslar ve karma kullanımlı projeler</w:t>
            </w:r>
          </w:p>
        </w:tc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90" w:type="dxa"/>
              <w:left w:w="220" w:type="dxa"/>
              <w:bottom w:w="190" w:type="dxa"/>
              <w:right w:w="220" w:type="dxa"/>
            </w:tcMar>
          </w:tcPr>
          <w:p w:rsidR="009B45F6" w:rsidRDefault="00BA7221">
            <w:pPr>
              <w:rPr>
                <w:rFonts w:hint="eastAsia"/>
              </w:rPr>
            </w:pPr>
            <w:r>
              <w:rPr>
                <w:b/>
                <w:color w:val="C62828"/>
                <w:sz w:val="24"/>
              </w:rPr>
              <w:t>TİCARİ GAYRİMENKULLER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Dükkân ve mağazalar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Ofisler ve iş merkezleri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Alışveriş merkezleri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Akaryakıt istasyonları</w:t>
            </w:r>
          </w:p>
        </w:tc>
      </w:tr>
      <w:tr w:rsidR="009B45F6">
        <w:trPr>
          <w:jc w:val="center"/>
        </w:trPr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  <w:shd w:val="clear" w:color="auto" w:fill="F3F5F7"/>
            <w:tcMar>
              <w:top w:w="190" w:type="dxa"/>
              <w:left w:w="220" w:type="dxa"/>
              <w:bottom w:w="190" w:type="dxa"/>
              <w:right w:w="220" w:type="dxa"/>
            </w:tcMar>
          </w:tcPr>
          <w:p w:rsidR="009B45F6" w:rsidRDefault="00BA7221">
            <w:pPr>
              <w:rPr>
                <w:rFonts w:hint="eastAsia"/>
              </w:rPr>
            </w:pPr>
            <w:r>
              <w:rPr>
                <w:b/>
                <w:color w:val="C62828"/>
                <w:sz w:val="24"/>
              </w:rPr>
              <w:t>KENTSEL DÖNÜŞÜM VE İMAR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Kentsel dö</w:t>
            </w:r>
            <w:r>
              <w:rPr>
                <w:sz w:val="22"/>
              </w:rPr>
              <w:t>nüşüm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Yerinde dönüşüm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İmar hakkı aktarımı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Plan değişikliği, değer artışı tespiti</w:t>
            </w:r>
          </w:p>
        </w:tc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  <w:shd w:val="clear" w:color="auto" w:fill="F3F5F7"/>
            <w:tcMar>
              <w:top w:w="190" w:type="dxa"/>
              <w:left w:w="220" w:type="dxa"/>
              <w:bottom w:w="190" w:type="dxa"/>
              <w:right w:w="220" w:type="dxa"/>
            </w:tcMar>
          </w:tcPr>
          <w:p w:rsidR="009B45F6" w:rsidRDefault="00BA7221">
            <w:pPr>
              <w:rPr>
                <w:rFonts w:hint="eastAsia"/>
              </w:rPr>
            </w:pPr>
            <w:r>
              <w:rPr>
                <w:b/>
                <w:color w:val="C62828"/>
                <w:sz w:val="24"/>
              </w:rPr>
              <w:t>UZMANLIK GEREKTİREN SÜREÇLER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Kamulaştırma değerlemeleri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Miras paylaşımına esas değerlemeler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Borç yapılandırma süreçlerinde değerleme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Arabuluculuk süreçlerinde değerleme</w:t>
            </w:r>
          </w:p>
        </w:tc>
      </w:tr>
      <w:tr w:rsidR="009B45F6">
        <w:trPr>
          <w:jc w:val="center"/>
        </w:trPr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190" w:type="dxa"/>
              <w:left w:w="220" w:type="dxa"/>
              <w:bottom w:w="190" w:type="dxa"/>
              <w:right w:w="220" w:type="dxa"/>
            </w:tcMar>
          </w:tcPr>
          <w:p w:rsidR="009B45F6" w:rsidRDefault="00BA7221">
            <w:pPr>
              <w:rPr>
                <w:rFonts w:hint="eastAsia"/>
              </w:rPr>
            </w:pPr>
            <w:r>
              <w:rPr>
                <w:b/>
                <w:color w:val="C62828"/>
                <w:sz w:val="24"/>
              </w:rPr>
              <w:t>SANAYİ VE LOJİSTİK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Fabrikalar ve üretim tesisleri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Depo ve lojistik amaçlı yapılar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Özel amaçlı mülkler</w:t>
            </w:r>
          </w:p>
        </w:tc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  <w:shd w:val="clear" w:color="auto" w:fill="F3F5F7"/>
            <w:tcMar>
              <w:top w:w="190" w:type="dxa"/>
              <w:left w:w="220" w:type="dxa"/>
              <w:bottom w:w="190" w:type="dxa"/>
              <w:right w:w="220" w:type="dxa"/>
            </w:tcMar>
          </w:tcPr>
          <w:p w:rsidR="009B45F6" w:rsidRDefault="00BA7221">
            <w:pPr>
              <w:rPr>
                <w:rFonts w:hint="eastAsia"/>
              </w:rPr>
            </w:pPr>
            <w:r>
              <w:rPr>
                <w:b/>
                <w:color w:val="C62828"/>
                <w:sz w:val="24"/>
              </w:rPr>
              <w:t>BİLİRKİŞİLİK</w:t>
            </w:r>
          </w:p>
          <w:p w:rsidR="009B45F6" w:rsidRDefault="00BA7221">
            <w:pPr>
              <w:pStyle w:val="ListeMaddemi"/>
              <w:spacing w:after="60"/>
              <w:ind w:left="317" w:hanging="216"/>
              <w:rPr>
                <w:rFonts w:hint="eastAsia"/>
              </w:rPr>
            </w:pPr>
            <w:r>
              <w:rPr>
                <w:sz w:val="22"/>
              </w:rPr>
              <w:t>Dava dosyalarına ilişkin Uzman Görüşü Raporu (HMK m. 293)</w:t>
            </w:r>
          </w:p>
        </w:tc>
      </w:tr>
    </w:tbl>
    <w:p w:rsidR="009B45F6" w:rsidRDefault="009B45F6">
      <w:pPr>
        <w:rPr>
          <w:rFonts w:hint="eastAsia"/>
        </w:rPr>
      </w:pPr>
    </w:p>
    <w:p w:rsidR="009B45F6" w:rsidRDefault="00BA7221">
      <w:pPr>
        <w:spacing w:before="300" w:after="40"/>
        <w:jc w:val="center"/>
        <w:rPr>
          <w:rFonts w:hint="eastAsia"/>
        </w:rPr>
      </w:pPr>
      <w:r>
        <w:rPr>
          <w:b/>
          <w:sz w:val="24"/>
        </w:rPr>
        <w:t>ARMA TAŞINMAZ DEĞERLEME VE DANIŞMANLIK A.Ş.</w:t>
      </w:r>
    </w:p>
    <w:p w:rsidR="009B45F6" w:rsidRDefault="00BA7221">
      <w:pPr>
        <w:jc w:val="center"/>
        <w:rPr>
          <w:rFonts w:hint="eastAsia"/>
        </w:rPr>
      </w:pPr>
      <w:r>
        <w:rPr>
          <w:color w:val="5F6B76"/>
        </w:rPr>
        <w:t>Yatırım, finansman, dava, paylaşım ve</w:t>
      </w:r>
      <w:r>
        <w:rPr>
          <w:color w:val="5F6B76"/>
        </w:rPr>
        <w:t xml:space="preserve"> dönüşüm süreçleriniz için profesyonel değerleme çözümleri.</w:t>
      </w:r>
    </w:p>
    <w:p w:rsidR="009B45F6" w:rsidRDefault="00BA7221">
      <w:pPr>
        <w:spacing w:before="140" w:after="20"/>
        <w:jc w:val="center"/>
        <w:rPr>
          <w:rFonts w:hint="eastAsia"/>
        </w:rPr>
      </w:pPr>
      <w:r>
        <w:rPr>
          <w:b/>
          <w:color w:val="C62828"/>
          <w:sz w:val="24"/>
        </w:rPr>
        <w:t>www.armatd.com.tr</w:t>
      </w:r>
    </w:p>
    <w:p w:rsidR="009B45F6" w:rsidRDefault="00BA7221">
      <w:pPr>
        <w:spacing w:after="0"/>
        <w:jc w:val="center"/>
        <w:rPr>
          <w:rFonts w:hint="eastAsia"/>
        </w:rPr>
      </w:pPr>
      <w:r>
        <w:rPr>
          <w:color w:val="17324C"/>
          <w:sz w:val="23"/>
        </w:rPr>
        <w:t>İletişim: Muhasebe Md. Özlem KUZU – 0534 839 23 96</w:t>
      </w:r>
    </w:p>
    <w:sectPr w:rsidR="009B45F6" w:rsidSect="00034616">
      <w:footerReference w:type="default" r:id="rId9"/>
      <w:pgSz w:w="11909" w:h="16834"/>
      <w:pgMar w:top="792" w:right="792" w:bottom="792" w:left="792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221" w:rsidRDefault="00BA7221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BA7221" w:rsidRDefault="00BA7221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5F6" w:rsidRDefault="00BA7221">
    <w:pPr>
      <w:pStyle w:val="Altbilgi"/>
      <w:jc w:val="center"/>
      <w:rPr>
        <w:rFonts w:hint="eastAsia"/>
      </w:rPr>
    </w:pPr>
    <w:r>
      <w:rPr>
        <w:color w:val="5F6B76"/>
        <w:sz w:val="16"/>
      </w:rPr>
      <w:t>ARMA  |  Taşınmaz Değerleme ve Danışmanlık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221" w:rsidRDefault="00BA7221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BA7221" w:rsidRDefault="00BA7221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042E1"/>
    <w:rsid w:val="009B45F6"/>
    <w:rsid w:val="00AA1D8D"/>
    <w:rsid w:val="00B47730"/>
    <w:rsid w:val="00BA7221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4BDE606-C619-4792-943A-F316F4331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132B44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280" w:after="160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bCs/>
      <w:color w:val="C62828"/>
      <w:sz w:val="24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16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60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  <w:spacing w:after="240"/>
    </w:pPr>
    <w:rPr>
      <w:rFonts w:asciiTheme="majorHAnsi" w:eastAsiaTheme="majorEastAsia" w:hAnsiTheme="majorHAnsi" w:cstheme="majorBidi"/>
      <w:i/>
      <w:iCs/>
      <w:color w:val="5F6B76"/>
      <w:spacing w:val="15"/>
      <w:sz w:val="28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CD33077-79E7-4E22-B330-F27C81D6A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Başlıklar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DEĞERLEME (EKSPERTİZ) RAPORLAMA HİZMETLERİMİZ</vt:lpstr>
      <vt:lpstr/>
    </vt:vector>
  </TitlesOfParts>
  <Manager/>
  <Company/>
  <LinksUpToDate>false</LinksUpToDate>
  <CharactersWithSpaces>1145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hesabı</cp:lastModifiedBy>
  <cp:revision>2</cp:revision>
  <dcterms:created xsi:type="dcterms:W3CDTF">2026-09-09T05:57:00Z</dcterms:created>
  <dcterms:modified xsi:type="dcterms:W3CDTF">2026-09-09T05:57:00Z</dcterms:modified>
  <cp:category/>
</cp:coreProperties>
</file>