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1472" w14:textId="77777777" w:rsidR="00092FAA" w:rsidRDefault="00066C43" w:rsidP="00AA518C">
      <w:pPr>
        <w:pStyle w:val="Balk3"/>
        <w:spacing w:before="240" w:after="240" w:line="280" w:lineRule="auto"/>
        <w:jc w:val="center"/>
      </w:pPr>
      <w:r>
        <w:rPr>
          <w:b/>
          <w:bCs/>
          <w:color w:val="000000"/>
        </w:rPr>
        <w:t>DANIŞTAY SEKİZİNCİ DAİRESİ’NE</w:t>
      </w:r>
    </w:p>
    <w:p w14:paraId="1AAD1D14" w14:textId="77777777" w:rsidR="00092FAA" w:rsidRDefault="00066C43" w:rsidP="00AA518C">
      <w:pPr>
        <w:pStyle w:val="Balk3"/>
        <w:spacing w:before="240" w:after="240" w:line="280" w:lineRule="auto"/>
        <w:ind w:left="2832" w:firstLine="708"/>
        <w:jc w:val="center"/>
        <w:rPr>
          <w:b/>
          <w:bCs/>
          <w:color w:val="000000"/>
        </w:rPr>
      </w:pPr>
      <w:r>
        <w:rPr>
          <w:b/>
          <w:bCs/>
          <w:color w:val="000000"/>
        </w:rPr>
        <w:t>ANKARA</w:t>
      </w:r>
    </w:p>
    <w:p w14:paraId="7E413C90" w14:textId="77777777" w:rsidR="00092FAA" w:rsidRDefault="00066C43">
      <w:r>
        <w:rPr>
          <w:b/>
          <w:bCs/>
        </w:rPr>
        <w:t>DOSYA NO</w:t>
      </w:r>
      <w:r>
        <w:t>: 2025/4891 Es.</w:t>
      </w:r>
    </w:p>
    <w:p w14:paraId="27BD5846" w14:textId="77777777" w:rsidR="00092FAA" w:rsidRDefault="00066C43">
      <w:r>
        <w:rPr>
          <w:b/>
          <w:bCs/>
        </w:rPr>
        <w:t>DAVALI YANINDA FER’Î MÜDAHİL</w:t>
      </w:r>
      <w:r>
        <w:t xml:space="preserve">: [Ad </w:t>
      </w:r>
      <w:proofErr w:type="spellStart"/>
      <w:r>
        <w:t>Soyad</w:t>
      </w:r>
      <w:proofErr w:type="spellEnd"/>
      <w:r>
        <w:t>]</w:t>
      </w:r>
    </w:p>
    <w:p w14:paraId="25F047ED" w14:textId="77777777" w:rsidR="00092FAA" w:rsidRDefault="00066C43">
      <w:r>
        <w:rPr>
          <w:b/>
          <w:bCs/>
        </w:rPr>
        <w:t>T.C. KİMLİK NO</w:t>
      </w:r>
      <w:r>
        <w:t>: [T.C. Kimlik No]</w:t>
      </w:r>
    </w:p>
    <w:p w14:paraId="0E04286A" w14:textId="77777777" w:rsidR="00092FAA" w:rsidRDefault="00066C43">
      <w:r>
        <w:rPr>
          <w:b/>
          <w:bCs/>
        </w:rPr>
        <w:t>MESLEK UNVANI</w:t>
      </w:r>
      <w:r>
        <w:t>: Serbest Muhasebeci Mali Müşavir</w:t>
      </w:r>
    </w:p>
    <w:p w14:paraId="508F31C4" w14:textId="77777777" w:rsidR="00092FAA" w:rsidRDefault="00066C43">
      <w:r>
        <w:rPr>
          <w:b/>
          <w:bCs/>
        </w:rPr>
        <w:t>ODA SİCİL / RUHSAT NO</w:t>
      </w:r>
      <w:r>
        <w:t>: [Oda Sicil veya Ruhsat No]</w:t>
      </w:r>
    </w:p>
    <w:p w14:paraId="2074FC14" w14:textId="77777777" w:rsidR="00092FAA" w:rsidRDefault="00066C43">
      <w:r>
        <w:rPr>
          <w:b/>
          <w:bCs/>
        </w:rPr>
        <w:t>ADRES</w:t>
      </w:r>
      <w:r>
        <w:t>: [Açık Adres]</w:t>
      </w:r>
    </w:p>
    <w:p w14:paraId="42F756DE" w14:textId="77777777" w:rsidR="00092FAA" w:rsidRDefault="00066C43">
      <w:r>
        <w:rPr>
          <w:b/>
          <w:bCs/>
        </w:rPr>
        <w:t>DAVALI</w:t>
      </w:r>
      <w:r>
        <w:t>: T.C. Sanayi ve Teknoloji Bakanlığı</w:t>
      </w:r>
    </w:p>
    <w:p w14:paraId="25CC670E" w14:textId="77777777" w:rsidR="00092FAA" w:rsidRDefault="00066C43">
      <w:r>
        <w:rPr>
          <w:b/>
          <w:bCs/>
        </w:rPr>
        <w:t>DAVACILAR</w:t>
      </w:r>
      <w:r>
        <w:t xml:space="preserve">: </w:t>
      </w:r>
      <w:r>
        <w:br/>
        <w:t xml:space="preserve">1- Adana Yeminli Mali Müşavirler Odası </w:t>
      </w:r>
      <w:r>
        <w:br/>
        <w:t xml:space="preserve">2- Antalya Yeminli Mali Müşavirler Odası </w:t>
      </w:r>
      <w:r>
        <w:br/>
        <w:t xml:space="preserve">3- İzmir Yeminli Mali Müşavirler Odası </w:t>
      </w:r>
      <w:r>
        <w:br/>
        <w:t xml:space="preserve">4- Eskişehir Yeminli Mali Müşavirler Odası </w:t>
      </w:r>
      <w:r>
        <w:br/>
        <w:t xml:space="preserve">5- Gaziantep Yeminli Mali Müşavirler Odası </w:t>
      </w:r>
      <w:r>
        <w:br/>
        <w:t xml:space="preserve">6- İstanbul Yeminli Mali Müşavirler Odası </w:t>
      </w:r>
      <w:r>
        <w:br/>
        <w:t xml:space="preserve">7- Ankara Yeminli Mali Müşavirler Odası </w:t>
      </w:r>
      <w:r>
        <w:br/>
        <w:t>8- Bursa Yeminli Mali Müşavirler Odası</w:t>
      </w:r>
    </w:p>
    <w:p w14:paraId="2D9A46D9" w14:textId="77777777" w:rsidR="00092FAA" w:rsidRDefault="00066C43" w:rsidP="00AA518C">
      <w:pPr>
        <w:jc w:val="both"/>
      </w:pPr>
      <w:r>
        <w:rPr>
          <w:b/>
          <w:bCs/>
        </w:rPr>
        <w:t>KONU</w:t>
      </w:r>
      <w:r>
        <w:t xml:space="preserve">: Davalı Sanayi ve Teknoloji Bakanlığı yanında </w:t>
      </w:r>
      <w:proofErr w:type="spellStart"/>
      <w:r>
        <w:t>fer’î</w:t>
      </w:r>
      <w:proofErr w:type="spellEnd"/>
      <w:r>
        <w:t xml:space="preserve"> müdahil olarak davaya katılma talebimin kabulü ile; dava konusu 2025/1 </w:t>
      </w:r>
      <w:proofErr w:type="spellStart"/>
      <w:r>
        <w:t>No’lu</w:t>
      </w:r>
      <w:proofErr w:type="spellEnd"/>
      <w:r>
        <w:t xml:space="preserve"> Yatırımlarda Devlet Yardımları Hakkında Kararın Uygulanmasına İlişkin Tebliğin 26/1. maddesine bağlı EK-4’ün 8 numaralı bendinde yer alan ibare ile EK-5’teki “Serbest Muhasebeci Mali Müşavir veya” ibaresine yönelen iptal isteminin reddine, varsa yürütmenin durdurulmasına ilişkin ara kararın kaldırılmasına yahut esasa etkisinin yeniden değerlendirilmesine karar verilmesi istemimden ibarettir.</w:t>
      </w:r>
    </w:p>
    <w:p w14:paraId="129CC69B" w14:textId="77777777" w:rsidR="00092FAA" w:rsidRDefault="00066C43">
      <w:pPr>
        <w:pStyle w:val="Balk3"/>
        <w:spacing w:before="240" w:after="240" w:line="280" w:lineRule="auto"/>
      </w:pPr>
      <w:r>
        <w:rPr>
          <w:b/>
          <w:bCs/>
          <w:color w:val="000000"/>
        </w:rPr>
        <w:t>AÇIKLAMALAR</w:t>
      </w:r>
    </w:p>
    <w:p w14:paraId="237BDEA2" w14:textId="77777777" w:rsidR="00092FAA" w:rsidRDefault="00066C43">
      <w:pPr>
        <w:pStyle w:val="Balk4"/>
        <w:spacing w:before="240" w:after="240" w:line="280" w:lineRule="auto"/>
      </w:pPr>
      <w:r>
        <w:rPr>
          <w:b/>
          <w:bCs/>
          <w:color w:val="000000"/>
        </w:rPr>
        <w:t xml:space="preserve">I. </w:t>
      </w:r>
      <w:proofErr w:type="spellStart"/>
      <w:r>
        <w:rPr>
          <w:b/>
          <w:bCs/>
          <w:color w:val="000000"/>
        </w:rPr>
        <w:t>Fer’î</w:t>
      </w:r>
      <w:proofErr w:type="spellEnd"/>
      <w:r>
        <w:rPr>
          <w:b/>
          <w:bCs/>
          <w:color w:val="000000"/>
        </w:rPr>
        <w:t xml:space="preserve"> müdahale talebimin hukuki dayanağı ve kişisel hukuki yararım</w:t>
      </w:r>
    </w:p>
    <w:p w14:paraId="6218BAC6" w14:textId="77777777" w:rsidR="00092FAA" w:rsidRDefault="00066C43" w:rsidP="00AA518C">
      <w:pPr>
        <w:jc w:val="both"/>
      </w:pPr>
      <w:r>
        <w:t xml:space="preserve">İşbu davada, davalı T.C. Sanayi ve Teknoloji Bakanlığı yanında </w:t>
      </w:r>
      <w:proofErr w:type="spellStart"/>
      <w:r>
        <w:t>fer’î</w:t>
      </w:r>
      <w:proofErr w:type="spellEnd"/>
      <w:r>
        <w:t xml:space="preserve"> müdahil olarak yer alma talebinde bulunuyorum. Serbest muhasebeci mali müşavir olarak Adana ilinde fiilen mesleki faaliyette bulunmaktayım. Mesleğimi 3568 sayılı Kanun kapsamında icra etmekte olup, faaliyet alanım yalnızca klasik muhasebe hizmetleriyle sınırlı olmayıp, aynı zamanda mevzuatın izin verdiği ölçüde inceleme, tahlil, değerlendirme, raporlama ve mali belgeye dayalı teknik tespit hizmetlerini de kapsamaktadır. Dava konusu düzenleme ise doğrudan doğruya bu faaliyet alanının bir bölümünü etkilediğinden, davanın sonucu benim kişisel, güncel ve meşru menfaat alanım üzerinde doğrudan etki doğuracaktır.</w:t>
      </w:r>
    </w:p>
    <w:p w14:paraId="69C23A89" w14:textId="77777777" w:rsidR="00092FAA" w:rsidRDefault="00066C43" w:rsidP="00AA518C">
      <w:pPr>
        <w:jc w:val="both"/>
      </w:pPr>
      <w:proofErr w:type="spellStart"/>
      <w:r>
        <w:t>Fer’î</w:t>
      </w:r>
      <w:proofErr w:type="spellEnd"/>
      <w:r>
        <w:t xml:space="preserve"> müdahale kurumu, yargılama sonucunda verilecek karar nedeniyle hukuki durumu etkilenebilecek üçüncü kişilerin, yanında katıldıkları tarafın yararına açıklama ve katkı sunmalarına imkân tanımaktadır. Somut olayda dava konusu Tebliğ hükümlerinin iptali talep edildiğinden, bu iptal isteminin kabulü halinde benim de dâhil olduğum serbest muhasebeci </w:t>
      </w:r>
      <w:r>
        <w:lastRenderedPageBreak/>
        <w:t>mali müşavirlerin belirli yatırım büyüklükleri bakımından üstlenebildiği raporlama ve tespit faaliyetleri daralacak, mesleki uygulama alanım sınırlandırılacak, ekonomik ve mesleki faaliyet çevrem somut biçimde etkilenecektir. Buna karşılık davanın reddi halinde mevcut hukuki ve mesleki faaliyet alanım korunacaktır.</w:t>
      </w:r>
    </w:p>
    <w:p w14:paraId="5B4C763B" w14:textId="77777777" w:rsidR="00092FAA" w:rsidRDefault="00066C43" w:rsidP="00AA518C">
      <w:pPr>
        <w:jc w:val="both"/>
      </w:pPr>
      <w:r>
        <w:t xml:space="preserve">Bu nedenle müdahale talebim, soyut bir meslekî dayanışma düşüncesine değil; doğrudan doğruya şahsıma ait mesleki yetki alanının, çalışma imkânımın, gelir getirici faaliyet çevremin ve 3568 sayılı Kanun kapsamında kullanabildiğim hizmet alanının korunmasına dayanmaktadır. Bu sebeple davalı idare yanında </w:t>
      </w:r>
      <w:proofErr w:type="spellStart"/>
      <w:r>
        <w:t>fer’î</w:t>
      </w:r>
      <w:proofErr w:type="spellEnd"/>
      <w:r>
        <w:t xml:space="preserve"> müdahil olarak davaya kabulüme karar verilmesini talep etme hakkım bulunmaktadır.</w:t>
      </w:r>
    </w:p>
    <w:p w14:paraId="1F6094D2" w14:textId="77777777" w:rsidR="00092FAA" w:rsidRDefault="00066C43">
      <w:pPr>
        <w:pStyle w:val="Balk4"/>
        <w:spacing w:before="240" w:after="240" w:line="280" w:lineRule="auto"/>
      </w:pPr>
      <w:r>
        <w:rPr>
          <w:b/>
          <w:bCs/>
          <w:color w:val="000000"/>
        </w:rPr>
        <w:t>II. Benim yönümden uyuşmazlığın önemi ve davanın sonucunun doğrudan etkisi</w:t>
      </w:r>
    </w:p>
    <w:p w14:paraId="5739F888" w14:textId="77777777" w:rsidR="00092FAA" w:rsidRDefault="00066C43" w:rsidP="00AA518C">
      <w:pPr>
        <w:jc w:val="both"/>
      </w:pPr>
      <w:r>
        <w:t>Ben Adana’da faaliyette bulunan bir serbest muhasebeci mali müşavirim. Mesleki pratiğim içinde, belgeye dayalı mali inceleme, kayıtların değerlendirilmesi, harcamaların dayanak evrak üzerinden kontrolü, mali raporlama ve meslek mevzuatının izin verdiği diğer teknik işlemler yer almaktadır. Dava konusu düzenleme de bu faaliyet alanı içinde bulunan belirli raporların serbest muhasebeci mali müşavirler tarafından düzenlenebilmesini esas almaktadır.</w:t>
      </w:r>
    </w:p>
    <w:p w14:paraId="660054BE" w14:textId="77777777" w:rsidR="00092FAA" w:rsidRDefault="00066C43" w:rsidP="00AA518C">
      <w:pPr>
        <w:jc w:val="both"/>
      </w:pPr>
      <w:r>
        <w:t>Davacı tarafça ileri sürülen yorumun kabulü halinde, yalnızca genel ve soyut bir mevzuat tartışması yapılmış olmayacaktır. Bunun sonucu olarak benim fiilen yürütebildiğim bir mesleki faaliyet alanı ortadan kaldırılacak veya ciddi şekilde daraltılacaktır. Bu durum, mesleki çalışma hacmim, hizmet verdiğim mükellef çevresi, yatırım teşvik uygulamalarında üstlenebileceğim rol ve bu çerçevede oluşan ekonomik faaliyet alanım üzerinde doğrudan etkili olacaktır. Bu sebeple davanın sonucu ile benim hukuki durumum arasında yalnızca dolaylı değil, somut ve güncel bir bağ bulunmaktadır.</w:t>
      </w:r>
    </w:p>
    <w:p w14:paraId="35BFE6F9" w14:textId="77777777" w:rsidR="00092FAA" w:rsidRDefault="00066C43" w:rsidP="00AA518C">
      <w:pPr>
        <w:jc w:val="both"/>
      </w:pPr>
      <w:r>
        <w:t>Ayrıca bu dava, fiilen iki ayrı meslek grubunun görev sınırlarının nasıl anlaşılması gerektiğine ilişkindir. Davacı konumunda olan odalar, kendi meslek mensuplarının menfaatini korumak amacıyla bu davayı açmıştır. Böyle bir durumda, düzenlemeden doğrudan etkilenen serbest muhasebeci mali müşavirlerin bireysel olarak davaya katılmasına imkân tanınmaması, uyuşmazlığın tek taraflı değerlendirilmesine yol açabilecektir. Benim bu davaya katılma talebim, mahkemenin uyuşmazlığı yalnızca kurumsal düzeyde değil, uygulamanın doğrudan muhatabı olan bireysel meslek mensubunun perspektifinden de değerlendirebilmesini sağlamaya yöneliktir.</w:t>
      </w:r>
    </w:p>
    <w:p w14:paraId="1E0CB228" w14:textId="77777777" w:rsidR="00092FAA" w:rsidRDefault="00066C43">
      <w:pPr>
        <w:pStyle w:val="Balk4"/>
        <w:spacing w:before="240" w:after="240" w:line="280" w:lineRule="auto"/>
      </w:pPr>
      <w:r>
        <w:rPr>
          <w:b/>
          <w:bCs/>
          <w:color w:val="000000"/>
        </w:rPr>
        <w:t>III. Davacı tarafın hukuki nitelendirmesindeki temel sorun</w:t>
      </w:r>
    </w:p>
    <w:p w14:paraId="681B57E2" w14:textId="77777777" w:rsidR="00092FAA" w:rsidRDefault="00066C43" w:rsidP="00AA518C">
      <w:pPr>
        <w:jc w:val="both"/>
      </w:pPr>
      <w:r>
        <w:t>Davacı taraf, dava konusu Tebliğ düzenlemesinin serbest muhasebeci mali müşavirlere yeminli mali müşavirlere özgü “tasdik” yetkisi verdiğini ileri sürmektedir. Ancak kanaatimce bu nitelendirme isabetli değildir. Dava konusu düzenleme, serbest muhasebeci mali müşavirlere 3568 sayılı Kanun’un 12. maddesinde düzenlenen teknik anlamdaki tasdik yetkisini vermemektedir. Düzenleme, belirli yatırım büyüklükleri bakımından, yatırım teşvik belgesi kapsamındaki harcamaların mali kayıtlar, dayanak belgeler ve ilgili evrak üzerinden incelenmesi ve buna ilişkin rapor düzenlenebilmesini kabul etmektedir.</w:t>
      </w:r>
    </w:p>
    <w:p w14:paraId="7C077182" w14:textId="77777777" w:rsidR="00092FAA" w:rsidRDefault="00066C43" w:rsidP="00AA518C">
      <w:pPr>
        <w:jc w:val="both"/>
      </w:pPr>
      <w:r>
        <w:t xml:space="preserve">Başka bir deyişle burada hukuki olarak ayırt edilmesi gereken husus, “tasdik” ile “tespit ve raporlama” arasındaki farktır. Her rapor, her onay, her meslek mensubu imzası ya da her belge incelemesi kendiliğinden 3568 sayılı Kanun m.12 anlamında tasdik haline gelmez. Yeminli mali müşavir tasdiki, özel bir hukuki rejime ve ayrı sonuçlara bağlı kurumsal bir işlemdir. Buna </w:t>
      </w:r>
      <w:r>
        <w:lastRenderedPageBreak/>
        <w:t>karşılık serbest muhasebeci mali müşavirler de kendi kanuni faaliyet alanları içinde inceleme, tahlil, değerlendirme, yazılı görüş ve rapor düzenleme yetkisine sahiptir.</w:t>
      </w:r>
    </w:p>
    <w:p w14:paraId="449A8475" w14:textId="77777777" w:rsidR="00092FAA" w:rsidRDefault="00066C43" w:rsidP="00AA518C">
      <w:pPr>
        <w:jc w:val="both"/>
      </w:pPr>
      <w:r>
        <w:t>Davacı tarafın ileri sürdüğü geniş yorumun kabul edilmesi halinde, serbest muhasebeci mali müşavirlere kanunla tanınan inceleme, değerlendirme ve rapor düzenleme alanları büyük ölçüde anlamsız hale gelecektir. Oysa kanun sistematiği iki meslek grubu arasında mutlak özdeşlik değil, farklılıkla birlikte belirli ölçüde kesişen görev alanları öngörmektedir. Bu nedenle davacı tarafın, dava konusu düzenlemeyi doğrudan tasdik kurumu ile özdeşleştiren yaklaşımı hukuken tartışmalıdır.</w:t>
      </w:r>
    </w:p>
    <w:p w14:paraId="76D85CA2" w14:textId="77777777" w:rsidR="00092FAA" w:rsidRDefault="00066C43">
      <w:pPr>
        <w:pStyle w:val="Balk4"/>
        <w:spacing w:before="240" w:after="240" w:line="280" w:lineRule="auto"/>
      </w:pPr>
      <w:r>
        <w:rPr>
          <w:b/>
          <w:bCs/>
          <w:color w:val="000000"/>
        </w:rPr>
        <w:t>IV. 3568 sayılı Kanun kapsamında serbest muhasebeci mali müşavirlerin raporlama ve inceleme yetkisi</w:t>
      </w:r>
    </w:p>
    <w:p w14:paraId="6566B4C6" w14:textId="77777777" w:rsidR="00092FAA" w:rsidRDefault="00066C43" w:rsidP="00AA518C">
      <w:pPr>
        <w:jc w:val="both"/>
      </w:pPr>
      <w:r>
        <w:t>3568 sayılı Kanun’un 2. maddesi, serbest muhasebeci mali müşavirlik mesleğinin kapsamını açık biçimde göstermektedir. Bu kapsam, yalnızca defter tutma veya beyanname düzenleme ile sınırlı değildir. Kanunda; muhasebe sistemlerinin kurulması, geliştirilmesi, mali mevzuat uygulamalarına ilişkin işlerin düzenlenmesi, belgelerine dayanılarak inceleme, tahlil ve denetim yapılması, mali tablo ve beyannamelerle ilgili yazılı görüş verilmesi, rapor ve benzerlerinin düzenlenmesi gibi faaliyetlerin de mesleğin konusu içinde olduğu açıkça ifade edilmektedir.</w:t>
      </w:r>
    </w:p>
    <w:p w14:paraId="30320EEF" w14:textId="77777777" w:rsidR="00092FAA" w:rsidRDefault="00066C43" w:rsidP="00AA518C">
      <w:pPr>
        <w:jc w:val="both"/>
      </w:pPr>
      <w:r>
        <w:t>Dava konusu Tebliğde yer alan “Yatırım Teşvik Belgesi Kapsamında Harcamaların Tespitine İlişkin Rapor” da mahiyeti itibarıyla belgeye dayalı mali inceleme ve raporlama faaliyeti niteliğindedir. Bu tür bir raporda esas olan, yapılan harcamaların dayanak evrakla, kayıtlarla ve mali belgelerle uyumunun incelenmesi ve bunun bir rapora bağlanmasıdır. Bu işlem, kanunda serbest muhasebeci mali müşavire tanınan inceleme ve rapor düzenleme fonksiyonlarıyla uyumludur.</w:t>
      </w:r>
    </w:p>
    <w:p w14:paraId="0B73BC19" w14:textId="77777777" w:rsidR="00092FAA" w:rsidRDefault="00066C43" w:rsidP="00AA518C">
      <w:pPr>
        <w:jc w:val="both"/>
      </w:pPr>
      <w:r>
        <w:t>Ben de fiilen bu mesleki alan içinde çalışan bir serbest muhasebeci mali müşavir olarak, bu düzenlemenin korunmasında doğrudan hukuki yararı olan kişilerden biriyim. Düzenlemenin iptal edilmesi halinde, yalnızca teorik bir norm tartışmasının sonucu ortaya çıkmayacak; benim de içinde bulunduğum meslek grubunun yasal olarak sürdürebildiği belirli hizmetler alanı daraltılmış olacaktır. Bu nedenle bireysel müdahale talebimin kabulü, hem hukuki yarar şartı hem de yargılamanın dengeli yürütülmesi bakımından gereklidir.</w:t>
      </w:r>
    </w:p>
    <w:p w14:paraId="7203B351" w14:textId="77777777" w:rsidR="00092FAA" w:rsidRDefault="00066C43">
      <w:pPr>
        <w:pStyle w:val="Balk4"/>
        <w:spacing w:before="240" w:after="240" w:line="280" w:lineRule="auto"/>
      </w:pPr>
      <w:r>
        <w:rPr>
          <w:b/>
          <w:bCs/>
          <w:color w:val="000000"/>
        </w:rPr>
        <w:t>V. Dava konusu düzenleme tasdik yetkisi vermemekte, tespit ve raporlama imkânı tanımaktadır</w:t>
      </w:r>
    </w:p>
    <w:p w14:paraId="13031906" w14:textId="77777777" w:rsidR="00092FAA" w:rsidRDefault="00066C43" w:rsidP="00AA518C">
      <w:pPr>
        <w:jc w:val="both"/>
      </w:pPr>
      <w:r>
        <w:t>Uyuşmazlığın çözümündeki temel noktalardan biri, dava konusu düzenlemenin gerçek hukuki mahiyetinin doğru tespit edilmesidir. Kanaatimce dava konusu Tebliğ, serbest muhasebeci mali müşavirlere yeminli mali müşavirlik tasdiki yetkisi vermemektedir. Düzenlemenin öngördüğü mekanizma, belirli yatırım tutarları bakımından, harcamaların mevzuata ve belgelere dayalı olarak incelenmesi ve bu incelemenin matbu raporla ortaya konulmasıdır.</w:t>
      </w:r>
    </w:p>
    <w:p w14:paraId="78E3B28C" w14:textId="77777777" w:rsidR="00092FAA" w:rsidRDefault="00066C43" w:rsidP="00AA518C">
      <w:pPr>
        <w:jc w:val="both"/>
      </w:pPr>
      <w:r>
        <w:t>Burada kullanılan raporun idari süreçte ibraz ediliyor olması, tek başına bu işlemi tasdik haline getirmez. Aksi yöndeki bir yorum, idareye sunulan her meslek mensubu raporunu otomatik olarak tasdik niteliğine büründürür ki bu hukuken isabetli değildir. Bir işlemin hukuki niteliği, yalnızca adıyla ya da idareye sunulmuş olmasıyla değil; içerdiği fonksiyon, dayandığı mevzuat ve doğurduğu hukuki sonuçlarla belirlenir.</w:t>
      </w:r>
    </w:p>
    <w:p w14:paraId="5245ADFA" w14:textId="77777777" w:rsidR="00092FAA" w:rsidRDefault="00066C43" w:rsidP="00AA518C">
      <w:pPr>
        <w:jc w:val="both"/>
      </w:pPr>
      <w:r>
        <w:lastRenderedPageBreak/>
        <w:t>Dava konusu rapor, yatırım teşvik sisteminde belirli bir kademeli denetim modelinin parçasıdır. YMM tasdiki ile aynı hukuki rejime tabi değildir. Bu nedenle davacı tarafın, her türlü doğrulama, inceleme ve raporu tasdik kavramı içinde değerlendiren yorumu, kanunun hem lafzı hem de sistematiği ile tam olarak bağdaşmamaktadır. Benim de kişisel mesleki faaliyet alanım bu yorumdan doğrudan etkileneceği için, bu hususları mahkemeye bireysel müdahil sıfatıyla sunmam zorunlu hale gelmiştir.</w:t>
      </w:r>
    </w:p>
    <w:p w14:paraId="5630393E" w14:textId="77777777" w:rsidR="00092FAA" w:rsidRDefault="00066C43">
      <w:pPr>
        <w:pStyle w:val="Balk4"/>
        <w:spacing w:before="240" w:after="240" w:line="280" w:lineRule="auto"/>
      </w:pPr>
      <w:r>
        <w:rPr>
          <w:b/>
          <w:bCs/>
          <w:color w:val="000000"/>
        </w:rPr>
        <w:t>VI. Bakanlığın düzenleme yetkisi ve kademeli raporlama modeli</w:t>
      </w:r>
    </w:p>
    <w:p w14:paraId="1310EF2B" w14:textId="77777777" w:rsidR="00092FAA" w:rsidRDefault="00066C43" w:rsidP="00AA518C">
      <w:pPr>
        <w:jc w:val="both"/>
      </w:pPr>
      <w:r>
        <w:t>Yatırım teşvik sisteminin uygulanması, yatırımların büyüklüğü ve niteliği itibarıyla farklı raporlama ve denetim yöntemleri gerektirebilmektedir. Bu nedenle üst normun çizdiği çerçeve içinde, idarenin uygulama usul ve esaslarını belirlemesi hukuken olağan ve gereklidir. Dava konusu Tebliğ de bu bağlamda belirli tutar aralığındaki yatırımlar için serbest muhasebeci mali müşavirlerce düzenlenecek tespit raporlarına yer vermektedir.</w:t>
      </w:r>
    </w:p>
    <w:p w14:paraId="0BB410D4" w14:textId="77777777" w:rsidR="00092FAA" w:rsidRDefault="00066C43" w:rsidP="00AA518C">
      <w:pPr>
        <w:jc w:val="both"/>
      </w:pPr>
      <w:r>
        <w:t>Bu yapı, tüm yatırımlar için tek tip ve tek yoğunlukta bir denetim modeli yerine, yatırımın özelliğine göre kademeli bir sistem öngörmektedir. Bu kademeli yapı hem idari etkinlik hem ölçülülük hem de uygulama kolaylığı bakımından makul görünmektedir. Davacı tarafın yorumu ise fiilen her durumda yalnızca yeminli mali müşavir raporunun esas alınması sonucunu doğuracak genişliktedir. Böyle bir yorum, hem düzenleyici işlemin mantığına hem de kanunun serbest muhasebeci mali müşavirlere tanıdığı faaliyet alanına uygun düşmemektedir.</w:t>
      </w:r>
    </w:p>
    <w:p w14:paraId="15F63E14" w14:textId="77777777" w:rsidR="00092FAA" w:rsidRDefault="00066C43" w:rsidP="00AA518C">
      <w:pPr>
        <w:jc w:val="both"/>
      </w:pPr>
      <w:r>
        <w:t xml:space="preserve">Benim bireysel müdahale talebim bakımından önemli olan husus şudur: Dava konusu düzenleme yalnızca teorik bir mevzuat meselesi değildir; mesleki faaliyetime ve çalışma alanıma etki eden somut bir düzenlemedir. Bu nedenle bu düzenlemenin hukuka uygunluğunu savunmak üzere davalı idare yanında </w:t>
      </w:r>
      <w:proofErr w:type="spellStart"/>
      <w:r>
        <w:t>fer’î</w:t>
      </w:r>
      <w:proofErr w:type="spellEnd"/>
      <w:r>
        <w:t xml:space="preserve"> müdahil olarak yargılamaya katılmak istemem hukuken korunmaya değer niteliktedir.</w:t>
      </w:r>
    </w:p>
    <w:p w14:paraId="22B84D6C" w14:textId="77777777" w:rsidR="00092FAA" w:rsidRDefault="00066C43">
      <w:pPr>
        <w:pStyle w:val="Balk4"/>
        <w:spacing w:before="240" w:after="240" w:line="280" w:lineRule="auto"/>
      </w:pPr>
      <w:r>
        <w:rPr>
          <w:b/>
          <w:bCs/>
          <w:color w:val="000000"/>
        </w:rPr>
        <w:t>VII. Yürütmenin durdurulmasına ilişkin değerlendirmenin yeniden gözden geçirilmesi gereği</w:t>
      </w:r>
    </w:p>
    <w:p w14:paraId="137EFF01" w14:textId="77777777" w:rsidR="00092FAA" w:rsidRDefault="00066C43" w:rsidP="00AA518C">
      <w:pPr>
        <w:jc w:val="both"/>
      </w:pPr>
      <w:r>
        <w:t>Dosyada yürütmenin durdurulmasına ilişkin verilmiş bir ara karar bulunması halinde, bu değerlendirmede dava konusu düzenlemenin teknik ve mesleki niteliğinin eksik yorumlandığını düşünüyorum. Özellikle “tasdik” ile “tespit raporu” arasındaki fark yeterince dikkate alınmadan yapılan bir değerlendirme, serbest muhasebeci mali müşavirlerin kanuni yetki alanını olması gerekenden daha dar yorumlama sonucunu doğurabilir.</w:t>
      </w:r>
    </w:p>
    <w:p w14:paraId="0A0989E1" w14:textId="77777777" w:rsidR="00092FAA" w:rsidRDefault="00066C43" w:rsidP="00AA518C">
      <w:pPr>
        <w:jc w:val="both"/>
      </w:pPr>
      <w:r>
        <w:t>Yürütmenin durdurulması kararı, dava sonuna kadar düzenlemenin etkisini askıya aldığından, yalnızca idareyi değil, aynı zamanda bu alanda çalışan serbest muhasebeci mali müşavirleri ve yatırımcıları da etkilemektedir. Bu durum uygulamada belirsizlik yaratmakta, meslek mensuplarının uzun süredir yürüttüğü bazı teknik raporlama faaliyetlerini durdurmakta veya zorlaştırmaktadır. Bu sonuç, benim kişisel çalışma alanım bakımından da doğrudan önem taşımaktadır.</w:t>
      </w:r>
    </w:p>
    <w:p w14:paraId="2AFB3F47" w14:textId="77777777" w:rsidR="00092FAA" w:rsidRDefault="00066C43" w:rsidP="00AA518C">
      <w:pPr>
        <w:jc w:val="both"/>
      </w:pPr>
      <w:r>
        <w:t xml:space="preserve">Bu sebeple mahkemenin, </w:t>
      </w:r>
      <w:proofErr w:type="spellStart"/>
      <w:r>
        <w:t>fer’î</w:t>
      </w:r>
      <w:proofErr w:type="spellEnd"/>
      <w:r>
        <w:t xml:space="preserve"> müdahil olarak sunacağım açıklamaları da dikkate alarak, yürütmenin durdurulmasına esas alınan hukuki çerçeveyi yeniden değerlendirmesi gerektiğini düşünüyorum. Açık hukuka aykırılık koşulunun, dava konusu düzenlemenin mahiyeti ve 3568 sayılı Kanun’un serbest muhasebeci mali müşavirlere tanıdığı görev alanı karşısında tartışmasız biçimde gerçekleştiği söylenemeyecektir.</w:t>
      </w:r>
    </w:p>
    <w:p w14:paraId="03B745A9" w14:textId="77777777" w:rsidR="00092FAA" w:rsidRDefault="00066C43">
      <w:pPr>
        <w:pStyle w:val="Balk4"/>
        <w:spacing w:before="240" w:after="240" w:line="280" w:lineRule="auto"/>
      </w:pPr>
      <w:r>
        <w:rPr>
          <w:b/>
          <w:bCs/>
          <w:color w:val="000000"/>
        </w:rPr>
        <w:lastRenderedPageBreak/>
        <w:t>VIII. Bireysel müdahale talebimin kabulü yargılamanın adil ve dengeli yürütülmesine hizmet eder</w:t>
      </w:r>
    </w:p>
    <w:p w14:paraId="28F82715" w14:textId="77777777" w:rsidR="00092FAA" w:rsidRDefault="00066C43" w:rsidP="00AA518C">
      <w:pPr>
        <w:jc w:val="both"/>
      </w:pPr>
      <w:r>
        <w:t>Bu davada davacı konumunda bulunanlar, yeminli mali müşavir odalarıdır. Başka bir anlatımla davanın bir tarafında, kendi meslek grubunun yetki alanını savunan örgütlü bir yapı bulunmaktadır. Buna karşılık dava konusu düzenlemeden doğrudan etkilenen serbest muhasebeci mali müşavirlerin bireysel veya kurumsal olarak görüşlerini sunabilmeleri, yargılamanın çelişmeli ve dengeli şekilde yürütülmesi bakımından önemlidir.</w:t>
      </w:r>
    </w:p>
    <w:p w14:paraId="53001D6E" w14:textId="77777777" w:rsidR="00092FAA" w:rsidRDefault="00066C43" w:rsidP="00AA518C">
      <w:pPr>
        <w:jc w:val="both"/>
      </w:pPr>
      <w:r>
        <w:t xml:space="preserve">Benim bu davaya </w:t>
      </w:r>
      <w:proofErr w:type="spellStart"/>
      <w:r>
        <w:t>fer’î</w:t>
      </w:r>
      <w:proofErr w:type="spellEnd"/>
      <w:r>
        <w:t xml:space="preserve"> müdahil olarak katılmam, davanın taraf yapısını değiştirmeyecek; yalnızca davalı idare yanında, kendi hukuki yararım çerçevesinde açıklama ve katkı sunmamı sağlayacaktır. Hüküm yine taraflar hakkında kurulacaktır. Ancak benim beyanlarımın dosyada yer alması, uyuşmazlığın yalnızca soyut norm denetimi ekseninde değil, uygulamanın doğrudan muhatabı olan bireysel meslek mensubu bakımından da değerlendirilmesine katkı sağlayacaktır.</w:t>
      </w:r>
    </w:p>
    <w:p w14:paraId="4675E5C5" w14:textId="77777777" w:rsidR="00092FAA" w:rsidRDefault="00066C43" w:rsidP="00AA518C">
      <w:pPr>
        <w:jc w:val="both"/>
      </w:pPr>
      <w:r>
        <w:t xml:space="preserve">Bu nedenlerle, hem hukuki yararımın varlığı hem de yargılamanın eksiksiz biçimde yürütülmesi bakımından, davalı T.C. Sanayi ve Teknoloji Bakanlığı yanında </w:t>
      </w:r>
      <w:proofErr w:type="spellStart"/>
      <w:r>
        <w:t>fer’î</w:t>
      </w:r>
      <w:proofErr w:type="spellEnd"/>
      <w:r>
        <w:t xml:space="preserve"> müdahil olarak davaya katılma talebimin kabul edilmesi gerekmektedir.</w:t>
      </w:r>
    </w:p>
    <w:p w14:paraId="33FC841E" w14:textId="77777777" w:rsidR="00092FAA" w:rsidRDefault="00066C43">
      <w:pPr>
        <w:pStyle w:val="Balk3"/>
        <w:spacing w:before="240" w:after="240" w:line="280" w:lineRule="auto"/>
      </w:pPr>
      <w:r>
        <w:rPr>
          <w:b/>
          <w:bCs/>
          <w:color w:val="000000"/>
        </w:rPr>
        <w:t>HUKUKİ NEDENLER</w:t>
      </w:r>
    </w:p>
    <w:p w14:paraId="79654CA9" w14:textId="77777777" w:rsidR="00092FAA" w:rsidRDefault="00066C43" w:rsidP="00AA518C">
      <w:pPr>
        <w:jc w:val="both"/>
      </w:pPr>
      <w:r>
        <w:t xml:space="preserve">2577 sayılı İdari Yargılama Usulü Kanunu, 6100 sayılı Hukuk Muhakemeleri Kanunu, 3568 sayılı Serbest Muhasebeci Mali Müşavirlik ve Yeminli Mali Müşavirlik Kanunu, dava konusu 2025/1 </w:t>
      </w:r>
      <w:proofErr w:type="spellStart"/>
      <w:r>
        <w:t>No’lu</w:t>
      </w:r>
      <w:proofErr w:type="spellEnd"/>
      <w:r>
        <w:t xml:space="preserve"> Yatırımlarda Devlet Yardımları Hakkında Kararın Uygulanmasına İlişkin Tebliğ ve ilgili sair mevzuat.</w:t>
      </w:r>
    </w:p>
    <w:p w14:paraId="3E3AE076" w14:textId="77777777" w:rsidR="00092FAA" w:rsidRDefault="00066C43">
      <w:pPr>
        <w:pStyle w:val="Balk3"/>
        <w:spacing w:before="240" w:after="240" w:line="280" w:lineRule="auto"/>
      </w:pPr>
      <w:r>
        <w:rPr>
          <w:b/>
          <w:bCs/>
          <w:color w:val="000000"/>
        </w:rPr>
        <w:t>DELİLLER</w:t>
      </w:r>
    </w:p>
    <w:p w14:paraId="73C1EC73" w14:textId="77777777" w:rsidR="00092FAA" w:rsidRDefault="00066C43">
      <w:pPr>
        <w:spacing w:after="120"/>
        <w:ind w:left="720"/>
      </w:pPr>
      <w:r>
        <w:t>1. Danıştay Sekizinci Dairesi’nin 2025/4891 Esas sayılı dava dosyası</w:t>
      </w:r>
    </w:p>
    <w:p w14:paraId="7198F2F5" w14:textId="77777777" w:rsidR="00092FAA" w:rsidRDefault="00066C43">
      <w:pPr>
        <w:spacing w:after="120"/>
        <w:ind w:left="720"/>
      </w:pPr>
      <w:r>
        <w:t xml:space="preserve">2. Dava konusu 2025/1 </w:t>
      </w:r>
      <w:proofErr w:type="spellStart"/>
      <w:r>
        <w:t>No’lu</w:t>
      </w:r>
      <w:proofErr w:type="spellEnd"/>
      <w:r>
        <w:t xml:space="preserve"> Tebliğ</w:t>
      </w:r>
    </w:p>
    <w:p w14:paraId="13AD9286" w14:textId="77777777" w:rsidR="00092FAA" w:rsidRDefault="00066C43">
      <w:pPr>
        <w:spacing w:after="120"/>
        <w:ind w:left="720"/>
      </w:pPr>
      <w:r>
        <w:t>3. 3568 sayılı Kanun</w:t>
      </w:r>
    </w:p>
    <w:p w14:paraId="04DAD95A" w14:textId="77777777" w:rsidR="00092FAA" w:rsidRDefault="00066C43">
      <w:pPr>
        <w:spacing w:after="120"/>
        <w:ind w:left="720"/>
      </w:pPr>
      <w:r>
        <w:t>4. [Başvuranın] serbest muhasebeci mali müşavir olduğunu gösterir ruhsat / faaliyet / oda kayıt belgeleri</w:t>
      </w:r>
    </w:p>
    <w:p w14:paraId="5AD10DC9" w14:textId="77777777" w:rsidR="00092FAA" w:rsidRDefault="00066C43">
      <w:pPr>
        <w:spacing w:after="120"/>
        <w:ind w:left="720"/>
      </w:pPr>
      <w:r>
        <w:t>5. Varsa mesleki faaliyetin kapsamını gösterir bilgi ve belgeler</w:t>
      </w:r>
    </w:p>
    <w:p w14:paraId="210ACBC9" w14:textId="77777777" w:rsidR="00092FAA" w:rsidRDefault="00066C43">
      <w:pPr>
        <w:spacing w:after="120"/>
        <w:ind w:left="720"/>
      </w:pPr>
      <w:r>
        <w:t>6. Gerek görülecek her türlü yasal delil</w:t>
      </w:r>
    </w:p>
    <w:p w14:paraId="3638A9D9" w14:textId="77777777" w:rsidR="00092FAA" w:rsidRDefault="00066C43">
      <w:pPr>
        <w:pStyle w:val="Balk3"/>
        <w:spacing w:before="240" w:after="240" w:line="280" w:lineRule="auto"/>
      </w:pPr>
      <w:r>
        <w:rPr>
          <w:b/>
          <w:bCs/>
          <w:color w:val="000000"/>
        </w:rPr>
        <w:t>SONUÇ VE İSTEM</w:t>
      </w:r>
    </w:p>
    <w:p w14:paraId="36D8BCC7" w14:textId="77777777" w:rsidR="00092FAA" w:rsidRDefault="00066C43">
      <w:r>
        <w:t>Yukarıda arz ve izah olunan nedenlerle;</w:t>
      </w:r>
    </w:p>
    <w:p w14:paraId="33CEFB0E" w14:textId="77777777" w:rsidR="00092FAA" w:rsidRDefault="00066C43">
      <w:pPr>
        <w:spacing w:after="120"/>
        <w:ind w:left="720"/>
      </w:pPr>
      <w:r>
        <w:t>1. Davalı T.C. Sanayi ve Teknoloji Bakanlığı yanında FER’Î MÜDAHİL olarak davaya katılma talebimin KABULÜNE,</w:t>
      </w:r>
    </w:p>
    <w:p w14:paraId="26821CFB" w14:textId="77777777" w:rsidR="00092FAA" w:rsidRDefault="00066C43">
      <w:pPr>
        <w:spacing w:after="120"/>
        <w:ind w:left="720"/>
      </w:pPr>
      <w:r>
        <w:t>2. Tarafımdan sunulan açıklama ve beyanların dosya kapsamına alınmasına,</w:t>
      </w:r>
    </w:p>
    <w:p w14:paraId="689E9B4E" w14:textId="77777777" w:rsidR="00092FAA" w:rsidRDefault="00066C43">
      <w:pPr>
        <w:spacing w:after="120"/>
        <w:ind w:left="720"/>
      </w:pPr>
      <w:r>
        <w:t xml:space="preserve">3. Dava konusu 2025/1 </w:t>
      </w:r>
      <w:proofErr w:type="spellStart"/>
      <w:r>
        <w:t>No’lu</w:t>
      </w:r>
      <w:proofErr w:type="spellEnd"/>
      <w:r>
        <w:t xml:space="preserve"> Yatırımlarda Devlet Yardımları Hakkında Kararın Uygulanmasına İlişkin Tebliğin 26/1. maddesine bağlı EK-4’ün 8 numaralı bendinde yer alan ibare ile EK-5’teki “Serbest Muhasebeci Mali Müşavir veya” ibaresine yönelik iptal isteminin REDDİNE,</w:t>
      </w:r>
    </w:p>
    <w:p w14:paraId="27B8DC2D" w14:textId="77777777" w:rsidR="00092FAA" w:rsidRDefault="00066C43">
      <w:pPr>
        <w:spacing w:after="120"/>
        <w:ind w:left="720"/>
      </w:pPr>
      <w:r>
        <w:lastRenderedPageBreak/>
        <w:t>4. Varsa yürütmenin durdurulmasına ilişkin ara kararın, dosyaya sunduğum teknik ve hukuki açıklamalar çerçevesinde yeniden değerlendirilmesine; mümkün görülmesi halinde kaldırılmasına yahut esasa ilişkin kararda bu beyanlarım gözetilerek hüküm kurulmasına,</w:t>
      </w:r>
    </w:p>
    <w:p w14:paraId="79E35FD8" w14:textId="77777777" w:rsidR="00092FAA" w:rsidRDefault="00066C43">
      <w:pPr>
        <w:spacing w:after="120"/>
        <w:ind w:left="720"/>
      </w:pPr>
      <w:r>
        <w:t>5. Yargılama giderlerinin davacılar üzerinde bırakılmasına,</w:t>
      </w:r>
    </w:p>
    <w:p w14:paraId="22E0D5D6" w14:textId="77777777" w:rsidR="00092FAA" w:rsidRDefault="00066C43">
      <w:proofErr w:type="gramStart"/>
      <w:r>
        <w:t>karar</w:t>
      </w:r>
      <w:proofErr w:type="gramEnd"/>
      <w:r>
        <w:t xml:space="preserve"> verilmesini saygılarımla arz ve talep ederim.</w:t>
      </w:r>
    </w:p>
    <w:p w14:paraId="267829AB" w14:textId="77777777" w:rsidR="00092FAA" w:rsidRDefault="00066C43">
      <w:r>
        <w:rPr>
          <w:b/>
          <w:bCs/>
        </w:rPr>
        <w:t>Tarih</w:t>
      </w:r>
      <w:r>
        <w:t>: [Tarih]</w:t>
      </w:r>
    </w:p>
    <w:p w14:paraId="6AE33E10" w14:textId="77777777" w:rsidR="00092FAA" w:rsidRDefault="00066C43">
      <w:proofErr w:type="spellStart"/>
      <w:r>
        <w:rPr>
          <w:b/>
          <w:bCs/>
        </w:rPr>
        <w:t>Fer’î</w:t>
      </w:r>
      <w:proofErr w:type="spellEnd"/>
      <w:r>
        <w:rPr>
          <w:b/>
          <w:bCs/>
        </w:rPr>
        <w:t xml:space="preserve"> Müdahil</w:t>
      </w:r>
      <w:r>
        <w:br/>
        <w:t xml:space="preserve">[Ad </w:t>
      </w:r>
      <w:proofErr w:type="spellStart"/>
      <w:r>
        <w:t>Soyad</w:t>
      </w:r>
      <w:proofErr w:type="spellEnd"/>
      <w:r>
        <w:t xml:space="preserve">] </w:t>
      </w:r>
      <w:r>
        <w:br/>
        <w:t>[İmza]</w:t>
      </w:r>
    </w:p>
    <w:sectPr w:rsidR="00092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F6642"/>
    <w:multiLevelType w:val="hybridMultilevel"/>
    <w:tmpl w:val="7C4E1D52"/>
    <w:lvl w:ilvl="0" w:tplc="280A849A">
      <w:start w:val="1"/>
      <w:numFmt w:val="bullet"/>
      <w:lvlText w:val="●"/>
      <w:lvlJc w:val="left"/>
      <w:pPr>
        <w:ind w:left="720" w:hanging="360"/>
      </w:pPr>
    </w:lvl>
    <w:lvl w:ilvl="1" w:tplc="9274EBEC">
      <w:start w:val="1"/>
      <w:numFmt w:val="bullet"/>
      <w:lvlText w:val="○"/>
      <w:lvlJc w:val="left"/>
      <w:pPr>
        <w:ind w:left="1440" w:hanging="360"/>
      </w:pPr>
    </w:lvl>
    <w:lvl w:ilvl="2" w:tplc="737AAD88">
      <w:start w:val="1"/>
      <w:numFmt w:val="bullet"/>
      <w:lvlText w:val="■"/>
      <w:lvlJc w:val="left"/>
      <w:pPr>
        <w:ind w:left="2160" w:hanging="360"/>
      </w:pPr>
    </w:lvl>
    <w:lvl w:ilvl="3" w:tplc="C94E3848">
      <w:start w:val="1"/>
      <w:numFmt w:val="bullet"/>
      <w:lvlText w:val="●"/>
      <w:lvlJc w:val="left"/>
      <w:pPr>
        <w:ind w:left="2880" w:hanging="360"/>
      </w:pPr>
    </w:lvl>
    <w:lvl w:ilvl="4" w:tplc="99304A32">
      <w:start w:val="1"/>
      <w:numFmt w:val="bullet"/>
      <w:lvlText w:val="○"/>
      <w:lvlJc w:val="left"/>
      <w:pPr>
        <w:ind w:left="3600" w:hanging="360"/>
      </w:pPr>
    </w:lvl>
    <w:lvl w:ilvl="5" w:tplc="BC26766E">
      <w:start w:val="1"/>
      <w:numFmt w:val="bullet"/>
      <w:lvlText w:val="■"/>
      <w:lvlJc w:val="left"/>
      <w:pPr>
        <w:ind w:left="4320" w:hanging="360"/>
      </w:pPr>
    </w:lvl>
    <w:lvl w:ilvl="6" w:tplc="D4568EA2">
      <w:start w:val="1"/>
      <w:numFmt w:val="bullet"/>
      <w:lvlText w:val="●"/>
      <w:lvlJc w:val="left"/>
      <w:pPr>
        <w:ind w:left="5040" w:hanging="360"/>
      </w:pPr>
    </w:lvl>
    <w:lvl w:ilvl="7" w:tplc="836EB656">
      <w:start w:val="1"/>
      <w:numFmt w:val="bullet"/>
      <w:lvlText w:val="●"/>
      <w:lvlJc w:val="left"/>
      <w:pPr>
        <w:ind w:left="5760" w:hanging="360"/>
      </w:pPr>
    </w:lvl>
    <w:lvl w:ilvl="8" w:tplc="B402384C">
      <w:start w:val="1"/>
      <w:numFmt w:val="bullet"/>
      <w:lvlText w:val="●"/>
      <w:lvlJc w:val="left"/>
      <w:pPr>
        <w:ind w:left="6480" w:hanging="360"/>
      </w:pPr>
    </w:lvl>
  </w:abstractNum>
  <w:num w:numId="1" w16cid:durableId="8328391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AA"/>
    <w:rsid w:val="00066C43"/>
    <w:rsid w:val="00092FAA"/>
    <w:rsid w:val="00831136"/>
    <w:rsid w:val="00A23E52"/>
    <w:rsid w:val="00AA518C"/>
    <w:rsid w:val="00C308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E66F"/>
  <w15:docId w15:val="{0CB29A2C-62A0-4C51-A591-E2CAD831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qFormat/>
    <w:pPr>
      <w:outlineLvl w:val="0"/>
    </w:pPr>
    <w:rPr>
      <w:color w:val="2E74B5"/>
      <w:sz w:val="32"/>
      <w:szCs w:val="32"/>
    </w:rPr>
  </w:style>
  <w:style w:type="paragraph" w:styleId="Balk2">
    <w:name w:val="heading 2"/>
    <w:qFormat/>
    <w:pPr>
      <w:outlineLvl w:val="1"/>
    </w:pPr>
    <w:rPr>
      <w:color w:val="2E74B5"/>
      <w:sz w:val="26"/>
      <w:szCs w:val="26"/>
    </w:rPr>
  </w:style>
  <w:style w:type="paragraph" w:styleId="Balk3">
    <w:name w:val="heading 3"/>
    <w:qFormat/>
    <w:pPr>
      <w:outlineLvl w:val="2"/>
    </w:pPr>
    <w:rPr>
      <w:color w:val="1F4D78"/>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pPr>
      <w:spacing w:after="0"/>
    </w:pPr>
    <w:rPr>
      <w:sz w:val="20"/>
      <w:szCs w:val="20"/>
    </w:rPr>
  </w:style>
  <w:style w:type="character" w:customStyle="1" w:styleId="DipnotMetniChar">
    <w:name w:val="Dipnot Metni Char"/>
    <w:link w:val="Dip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2244</Words>
  <Characters>12796</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musterihesap01@outlook.com</cp:lastModifiedBy>
  <cp:revision>2</cp:revision>
  <dcterms:created xsi:type="dcterms:W3CDTF">2026-03-25T09:29:00Z</dcterms:created>
  <dcterms:modified xsi:type="dcterms:W3CDTF">2026-03-25T09:29:00Z</dcterms:modified>
</cp:coreProperties>
</file>